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95" w:rsidRPr="005A7895" w:rsidRDefault="00D17DAD" w:rsidP="001363E0">
      <w:pPr>
        <w:spacing w:before="240"/>
        <w:rPr>
          <w:sz w:val="28"/>
          <w:szCs w:val="28"/>
        </w:rPr>
      </w:pPr>
      <w:bookmarkStart w:id="0" w:name="_Toc270718021"/>
      <w:bookmarkStart w:id="1" w:name="_Toc142068711"/>
      <w:bookmarkStart w:id="2" w:name="_Toc395724321"/>
      <w:r w:rsidRPr="005A7895">
        <w:rPr>
          <w:b/>
          <w:sz w:val="28"/>
          <w:szCs w:val="28"/>
        </w:rPr>
        <w:t>Tabak (inklusive Shisha)</w:t>
      </w:r>
    </w:p>
    <w:p w:rsidR="00D17DAD" w:rsidRPr="00D17DAD" w:rsidRDefault="00352378" w:rsidP="00D17DAD">
      <w:r>
        <w:t>Lifetime-,</w:t>
      </w:r>
      <w:r w:rsidR="00D17DAD" w:rsidRPr="00D17DAD">
        <w:t xml:space="preserve"> 30-Tages-Prävalenz</w:t>
      </w:r>
      <w:r>
        <w:t xml:space="preserve"> und täglicher Konsum</w:t>
      </w:r>
      <w:r w:rsidR="00D17DAD" w:rsidRPr="00D17DAD">
        <w:t xml:space="preserve"> (%) in der Altersgruppe 15- bis 18-Jährige nach Jahr der </w:t>
      </w:r>
      <w:proofErr w:type="spellStart"/>
      <w:r w:rsidR="00D17DAD" w:rsidRPr="00D17DAD">
        <w:t>Befragung</w:t>
      </w:r>
      <w:bookmarkEnd w:id="0"/>
      <w:bookmarkEnd w:id="1"/>
      <w:r w:rsidR="00D17DAD" w:rsidRPr="00D17DAD">
        <w:rPr>
          <w:vertAlign w:val="superscript"/>
        </w:rPr>
        <w:t>a</w:t>
      </w:r>
      <w:bookmarkEnd w:id="2"/>
      <w:proofErr w:type="spellEnd"/>
    </w:p>
    <w:p w:rsidR="00D17DAD" w:rsidRPr="00D17DAD" w:rsidRDefault="00352378" w:rsidP="00D17DAD">
      <w:r w:rsidRPr="00352378">
        <w:rPr>
          <w:noProof/>
          <w:lang w:eastAsia="de-DE"/>
        </w:rPr>
        <w:drawing>
          <wp:inline distT="0" distB="0" distL="0" distR="0">
            <wp:extent cx="5719445" cy="2718262"/>
            <wp:effectExtent l="0" t="0" r="14605" b="6350"/>
            <wp:docPr id="2" name="Diagram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DAD" w:rsidRPr="005A7895" w:rsidRDefault="00D17DAD" w:rsidP="00D17DAD">
      <w:pPr>
        <w:rPr>
          <w:sz w:val="20"/>
          <w:szCs w:val="20"/>
        </w:rPr>
      </w:pPr>
      <w:r w:rsidRPr="005A7895">
        <w:rPr>
          <w:sz w:val="20"/>
          <w:szCs w:val="20"/>
          <w:vertAlign w:val="superscript"/>
        </w:rPr>
        <w:t>a</w:t>
      </w:r>
      <w:r w:rsidRPr="005A7895">
        <w:rPr>
          <w:sz w:val="20"/>
          <w:szCs w:val="20"/>
        </w:rPr>
        <w:t xml:space="preserve"> Die im Vergleich zu den Vorjahresberichten teils höheren Werte resultieren daraus, dass, um Vergleichbarkeit mit den aktuellen Daten zu erreichen, den Prävalenz</w:t>
      </w:r>
      <w:bookmarkStart w:id="3" w:name="_GoBack"/>
      <w:bookmarkEnd w:id="3"/>
      <w:r w:rsidRPr="005A7895">
        <w:rPr>
          <w:sz w:val="20"/>
          <w:szCs w:val="20"/>
        </w:rPr>
        <w:t>raten aus den Vorjahren diejenigen Fälle hinzugefügt wurden, die die jeweilige Frage zum Tabakkonsum negativ, die zum Shisha-Konsum aber positiv ausgefüllt hatten.</w:t>
      </w:r>
    </w:p>
    <w:p w:rsidR="005A7895" w:rsidRDefault="005A7895" w:rsidP="00D17DAD">
      <w:pPr>
        <w:rPr>
          <w:sz w:val="20"/>
          <w:szCs w:val="20"/>
        </w:rPr>
      </w:pPr>
    </w:p>
    <w:p w:rsidR="005A7895" w:rsidRPr="005A7895" w:rsidRDefault="005A7895" w:rsidP="005A7895">
      <w:pPr>
        <w:rPr>
          <w:sz w:val="20"/>
          <w:szCs w:val="20"/>
        </w:rPr>
      </w:pPr>
      <w:r w:rsidRPr="005A7895">
        <w:rPr>
          <w:sz w:val="20"/>
          <w:szCs w:val="20"/>
        </w:rPr>
        <w:t xml:space="preserve">Quelle: </w:t>
      </w:r>
      <w:proofErr w:type="spellStart"/>
      <w:r w:rsidRPr="005A7895">
        <w:rPr>
          <w:sz w:val="20"/>
          <w:szCs w:val="20"/>
        </w:rPr>
        <w:t>Werse</w:t>
      </w:r>
      <w:proofErr w:type="spellEnd"/>
      <w:r w:rsidRPr="005A7895">
        <w:rPr>
          <w:sz w:val="20"/>
          <w:szCs w:val="20"/>
        </w:rPr>
        <w:t xml:space="preserve">, B., Morgenstern, C. &amp; </w:t>
      </w:r>
      <w:proofErr w:type="spellStart"/>
      <w:r w:rsidRPr="005A7895">
        <w:rPr>
          <w:sz w:val="20"/>
          <w:szCs w:val="20"/>
        </w:rPr>
        <w:t>Sarvari</w:t>
      </w:r>
      <w:proofErr w:type="spellEnd"/>
      <w:r w:rsidRPr="005A7895">
        <w:rPr>
          <w:sz w:val="20"/>
          <w:szCs w:val="20"/>
        </w:rPr>
        <w:t xml:space="preserve">, L. (2014). MoSyD Jahresbericht 2013. </w:t>
      </w:r>
      <w:r w:rsidRPr="005A7895">
        <w:rPr>
          <w:i/>
          <w:iCs/>
          <w:sz w:val="20"/>
          <w:szCs w:val="20"/>
        </w:rPr>
        <w:t xml:space="preserve">Drogentrends in Frankfurt am Main. </w:t>
      </w:r>
      <w:proofErr w:type="spellStart"/>
      <w:r w:rsidRPr="005A7895">
        <w:rPr>
          <w:i/>
          <w:iCs/>
          <w:sz w:val="20"/>
          <w:szCs w:val="20"/>
        </w:rPr>
        <w:t>Centre</w:t>
      </w:r>
      <w:proofErr w:type="spellEnd"/>
      <w:r w:rsidRPr="005A7895">
        <w:rPr>
          <w:i/>
          <w:iCs/>
          <w:sz w:val="20"/>
          <w:szCs w:val="20"/>
        </w:rPr>
        <w:t xml:space="preserve"> </w:t>
      </w:r>
      <w:proofErr w:type="spellStart"/>
      <w:r w:rsidRPr="005A7895">
        <w:rPr>
          <w:i/>
          <w:iCs/>
          <w:sz w:val="20"/>
          <w:szCs w:val="20"/>
        </w:rPr>
        <w:t>for</w:t>
      </w:r>
      <w:proofErr w:type="spellEnd"/>
      <w:r w:rsidRPr="005A7895">
        <w:rPr>
          <w:i/>
          <w:iCs/>
          <w:sz w:val="20"/>
          <w:szCs w:val="20"/>
        </w:rPr>
        <w:t xml:space="preserve"> Drug Research (CDR), Frankfurt</w:t>
      </w:r>
      <w:r w:rsidRPr="005A7895">
        <w:rPr>
          <w:sz w:val="20"/>
          <w:szCs w:val="20"/>
        </w:rPr>
        <w:t>.</w:t>
      </w:r>
    </w:p>
    <w:p w:rsidR="005A7895" w:rsidRPr="00D17DAD" w:rsidRDefault="005A7895" w:rsidP="00D17DAD"/>
    <w:p w:rsidR="0036418A" w:rsidRDefault="0036418A"/>
    <w:sectPr w:rsidR="003641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74" w:rsidRDefault="00DD7C74" w:rsidP="00DD7C74">
      <w:pPr>
        <w:spacing w:after="0" w:line="240" w:lineRule="auto"/>
      </w:pPr>
      <w:r>
        <w:separator/>
      </w:r>
    </w:p>
  </w:endnote>
  <w:endnote w:type="continuationSeparator" w:id="0">
    <w:p w:rsidR="00DD7C74" w:rsidRDefault="00DD7C74" w:rsidP="00DD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74" w:rsidRDefault="00DD7C74" w:rsidP="00DD7C74">
      <w:pPr>
        <w:spacing w:after="0" w:line="240" w:lineRule="auto"/>
      </w:pPr>
      <w:r>
        <w:separator/>
      </w:r>
    </w:p>
  </w:footnote>
  <w:footnote w:type="continuationSeparator" w:id="0">
    <w:p w:rsidR="00DD7C74" w:rsidRDefault="00DD7C74" w:rsidP="00DD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74" w:rsidRDefault="001363E0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363E0" w:rsidRDefault="001363E0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B0D1B">
                                <w:rPr>
                                  <w:caps/>
                                  <w:color w:val="FFFFFF" w:themeColor="background1"/>
                                </w:rPr>
                                <w:t>MOSYD-JAHRESBERICHT 2013 - SCHÜLERBEFRAGUNG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363E0" w:rsidRDefault="001363E0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B0D1B">
                          <w:rPr>
                            <w:caps/>
                            <w:color w:val="FFFFFF" w:themeColor="background1"/>
                          </w:rPr>
                          <w:t>MOSYD-JAHRESBERICHT 2013 - SCHÜLERBEFRAGUNG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AD"/>
    <w:rsid w:val="001363E0"/>
    <w:rsid w:val="00352378"/>
    <w:rsid w:val="0036418A"/>
    <w:rsid w:val="005A7895"/>
    <w:rsid w:val="007F5C16"/>
    <w:rsid w:val="00877BFE"/>
    <w:rsid w:val="00D17DAD"/>
    <w:rsid w:val="00DD7C74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4B64FF-D085-461B-8A62-EB7E01D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C74"/>
  </w:style>
  <w:style w:type="paragraph" w:styleId="Fuzeile">
    <w:name w:val="footer"/>
    <w:basedOn w:val="Standard"/>
    <w:link w:val="FuzeileZchn"/>
    <w:uiPriority w:val="99"/>
    <w:unhideWhenUsed/>
    <w:rsid w:val="00DD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903954802259886E-2"/>
          <c:y val="0.15694444444444444"/>
          <c:w val="0.96610169491525422"/>
          <c:h val="0.64746890867613505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Lifetime</c:v>
                </c:pt>
              </c:strCache>
            </c:strRef>
          </c:tx>
          <c:spPr>
            <a:ln w="31750" cap="rnd">
              <a:solidFill>
                <a:schemeClr val="accent2">
                  <a:shade val="58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77</c:v>
                </c:pt>
                <c:pt idx="1">
                  <c:v>77</c:v>
                </c:pt>
                <c:pt idx="2">
                  <c:v>73</c:v>
                </c:pt>
                <c:pt idx="3">
                  <c:v>78</c:v>
                </c:pt>
                <c:pt idx="4">
                  <c:v>80</c:v>
                </c:pt>
                <c:pt idx="5">
                  <c:v>83</c:v>
                </c:pt>
                <c:pt idx="6">
                  <c:v>80</c:v>
                </c:pt>
                <c:pt idx="7">
                  <c:v>78</c:v>
                </c:pt>
                <c:pt idx="8">
                  <c:v>77</c:v>
                </c:pt>
                <c:pt idx="9">
                  <c:v>74</c:v>
                </c:pt>
                <c:pt idx="10">
                  <c:v>74</c:v>
                </c:pt>
                <c:pt idx="11">
                  <c:v>70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30 Tage</c:v>
                </c:pt>
              </c:strCache>
            </c:strRef>
          </c:tx>
          <c:spPr>
            <a:ln w="31750" cap="rnd">
              <a:solidFill>
                <a:schemeClr val="accent2">
                  <a:tint val="8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Tabelle1!$A$2:$A$13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Tabelle1!$D$2:$D$13</c:f>
              <c:numCache>
                <c:formatCode>General</c:formatCode>
                <c:ptCount val="12"/>
                <c:pt idx="0">
                  <c:v>47</c:v>
                </c:pt>
                <c:pt idx="1">
                  <c:v>49</c:v>
                </c:pt>
                <c:pt idx="2">
                  <c:v>42</c:v>
                </c:pt>
                <c:pt idx="3">
                  <c:v>44</c:v>
                </c:pt>
                <c:pt idx="4">
                  <c:v>51</c:v>
                </c:pt>
                <c:pt idx="5">
                  <c:v>51</c:v>
                </c:pt>
                <c:pt idx="6">
                  <c:v>48</c:v>
                </c:pt>
                <c:pt idx="7">
                  <c:v>46</c:v>
                </c:pt>
                <c:pt idx="8">
                  <c:v>47</c:v>
                </c:pt>
                <c:pt idx="9">
                  <c:v>47</c:v>
                </c:pt>
                <c:pt idx="10">
                  <c:v>52</c:v>
                </c:pt>
                <c:pt idx="11">
                  <c:v>48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täglicher Konsum</c:v>
                </c:pt>
              </c:strCache>
            </c:strRef>
          </c:tx>
          <c:spPr>
            <a:ln w="31750" cap="rnd">
              <a:solidFill>
                <a:schemeClr val="accent2">
                  <a:tint val="58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Tabelle1!$A$2:$A$13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Tabelle1!$E$2:$E$13</c:f>
              <c:numCache>
                <c:formatCode>General</c:formatCode>
                <c:ptCount val="12"/>
                <c:pt idx="0">
                  <c:v>36</c:v>
                </c:pt>
                <c:pt idx="1">
                  <c:v>40</c:v>
                </c:pt>
                <c:pt idx="2">
                  <c:v>30</c:v>
                </c:pt>
                <c:pt idx="3">
                  <c:v>30</c:v>
                </c:pt>
                <c:pt idx="4">
                  <c:v>25</c:v>
                </c:pt>
                <c:pt idx="5">
                  <c:v>26</c:v>
                </c:pt>
                <c:pt idx="6">
                  <c:v>24</c:v>
                </c:pt>
                <c:pt idx="7">
                  <c:v>24</c:v>
                </c:pt>
                <c:pt idx="8">
                  <c:v>26</c:v>
                </c:pt>
                <c:pt idx="9">
                  <c:v>25</c:v>
                </c:pt>
                <c:pt idx="10">
                  <c:v>27</c:v>
                </c:pt>
                <c:pt idx="11">
                  <c:v>21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582232"/>
        <c:axId val="14158184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12 Monate</c:v>
                      </c:pt>
                    </c:strCache>
                  </c:strRef>
                </c:tx>
                <c:spPr>
                  <a:ln w="31750" cap="rnd">
                    <a:solidFill>
                      <a:schemeClr val="accent2">
                        <a:shade val="86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shade val="86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de-DE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Tabelle1!$A$2:$A$13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62</c:v>
                      </c:pt>
                      <c:pt idx="1">
                        <c:v>62</c:v>
                      </c:pt>
                      <c:pt idx="2">
                        <c:v>58</c:v>
                      </c:pt>
                      <c:pt idx="3">
                        <c:v>64</c:v>
                      </c:pt>
                      <c:pt idx="4">
                        <c:v>66</c:v>
                      </c:pt>
                      <c:pt idx="5">
                        <c:v>67</c:v>
                      </c:pt>
                      <c:pt idx="6">
                        <c:v>64</c:v>
                      </c:pt>
                      <c:pt idx="7">
                        <c:v>62</c:v>
                      </c:pt>
                      <c:pt idx="8">
                        <c:v>62</c:v>
                      </c:pt>
                      <c:pt idx="9">
                        <c:v>61</c:v>
                      </c:pt>
                      <c:pt idx="10">
                        <c:v>62</c:v>
                      </c:pt>
                      <c:pt idx="11">
                        <c:v>64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41582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158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581840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15822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MOSYD-JAHRESBERICHT 2013 - SCHÜLERBEFRAGUNG</dc:title>
  <dc:subject/>
  <dc:creator>Cornelia Morgenstern</dc:creator>
  <cp:keywords/>
  <dc:description/>
  <cp:lastModifiedBy>Cornelia Morgenstern</cp:lastModifiedBy>
  <cp:revision>5</cp:revision>
  <cp:lastPrinted>2014-11-06T11:06:00Z</cp:lastPrinted>
  <dcterms:created xsi:type="dcterms:W3CDTF">2014-11-06T09:32:00Z</dcterms:created>
  <dcterms:modified xsi:type="dcterms:W3CDTF">2014-11-06T11:32:00Z</dcterms:modified>
</cp:coreProperties>
</file>