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B9" w:rsidRDefault="005562B9" w:rsidP="00AC170A">
      <w:pPr>
        <w:pBdr>
          <w:bottom w:val="single" w:sz="6" w:space="1" w:color="auto"/>
        </w:pBdr>
        <w:spacing w:after="0" w:line="240" w:lineRule="auto"/>
      </w:pPr>
      <w:r>
        <w:t xml:space="preserve">Prof. Dr. Cornelius </w:t>
      </w:r>
      <w:proofErr w:type="spellStart"/>
      <w:r>
        <w:t>Prittwitz</w:t>
      </w:r>
      <w:proofErr w:type="spellEnd"/>
      <w:r>
        <w:t xml:space="preserve">          </w:t>
      </w:r>
      <w:r w:rsidR="00CA71EB">
        <w:t xml:space="preserve">          </w:t>
      </w:r>
      <w:r w:rsidR="00CA71EB" w:rsidRPr="00CA71EB">
        <w:rPr>
          <w:b/>
        </w:rPr>
        <w:t>Kriminologisches Seminar</w:t>
      </w:r>
      <w:r>
        <w:t xml:space="preserve">              </w:t>
      </w:r>
      <w:r w:rsidR="00CA71EB">
        <w:t xml:space="preserve">         </w:t>
      </w:r>
      <w:r>
        <w:t xml:space="preserve"> Sommersemester 2020</w:t>
      </w:r>
    </w:p>
    <w:p w:rsidR="00EE7D3A" w:rsidRPr="00DC0F6B" w:rsidRDefault="00EE7D3A" w:rsidP="00AC170A">
      <w:pPr>
        <w:spacing w:after="0" w:line="240" w:lineRule="auto"/>
        <w:jc w:val="center"/>
      </w:pPr>
    </w:p>
    <w:p w:rsidR="00DC0F6B" w:rsidRDefault="005562B9" w:rsidP="00AC170A">
      <w:pPr>
        <w:spacing w:after="0" w:line="240" w:lineRule="auto"/>
        <w:jc w:val="center"/>
        <w:rPr>
          <w:b/>
        </w:rPr>
      </w:pPr>
      <w:r>
        <w:rPr>
          <w:b/>
        </w:rPr>
        <w:t>Jugendk</w:t>
      </w:r>
      <w:r w:rsidR="00DC0F6B" w:rsidRPr="00DC0F6B">
        <w:rPr>
          <w:b/>
        </w:rPr>
        <w:t xml:space="preserve">riminalität und </w:t>
      </w:r>
      <w:r>
        <w:rPr>
          <w:b/>
        </w:rPr>
        <w:t>Jugendk</w:t>
      </w:r>
      <w:r w:rsidR="00DC0F6B" w:rsidRPr="00DC0F6B">
        <w:rPr>
          <w:b/>
        </w:rPr>
        <w:t xml:space="preserve">riminalisierung </w:t>
      </w:r>
    </w:p>
    <w:p w:rsidR="00DC0F6B" w:rsidRDefault="005562B9" w:rsidP="00AC170A">
      <w:pPr>
        <w:spacing w:after="0" w:line="240" w:lineRule="auto"/>
      </w:pPr>
      <w:r w:rsidRPr="005562B9">
        <w:t>Im Sommersemester 2020</w:t>
      </w:r>
      <w:r w:rsidR="003852AF">
        <w:t xml:space="preserve"> biete ich (als Blockseminar am Ende der Vorlesungszeit) für </w:t>
      </w:r>
      <w:r w:rsidR="00BF054B">
        <w:t>max</w:t>
      </w:r>
      <w:r w:rsidR="003852AF">
        <w:t xml:space="preserve">. </w:t>
      </w:r>
      <w:r w:rsidR="003852AF" w:rsidRPr="003852AF">
        <w:rPr>
          <w:b/>
        </w:rPr>
        <w:t>2</w:t>
      </w:r>
      <w:r w:rsidR="00BF054B">
        <w:rPr>
          <w:b/>
        </w:rPr>
        <w:t>5</w:t>
      </w:r>
      <w:r w:rsidR="003852AF" w:rsidRPr="003852AF">
        <w:rPr>
          <w:b/>
        </w:rPr>
        <w:t xml:space="preserve"> </w:t>
      </w:r>
      <w:proofErr w:type="spellStart"/>
      <w:r w:rsidR="003852AF" w:rsidRPr="003852AF">
        <w:rPr>
          <w:b/>
        </w:rPr>
        <w:t>Teil</w:t>
      </w:r>
      <w:r w:rsidR="003852AF" w:rsidRPr="003852AF">
        <w:rPr>
          <w:b/>
        </w:rPr>
        <w:softHyphen/>
        <w:t>nehmerInnen</w:t>
      </w:r>
      <w:proofErr w:type="spellEnd"/>
      <w:r w:rsidR="003852AF">
        <w:t xml:space="preserve"> ein krimino</w:t>
      </w:r>
      <w:r w:rsidR="003852AF">
        <w:softHyphen/>
        <w:t>logisches Seminar zur Kriminalität und Kriminalisierung von Jugend</w:t>
      </w:r>
      <w:r w:rsidR="003852AF">
        <w:softHyphen/>
        <w:t>lichen und Heranwachsenden an. Grundsätzlich ist die Teilnahme am Kolloquium Kriminologie im WS 2019/20 Voraussetzung. Einen Leistungsnachweis erhält, wer am Seminar aktiv teilnimmt, einen (etwa 20-minütigen) Vortrag hält und bis Ende September 2020 ein schriftliches Referat über das Thema seines Vortrags abgibt.</w:t>
      </w:r>
    </w:p>
    <w:p w:rsidR="00CA71EB" w:rsidRDefault="00CA71EB" w:rsidP="00AC170A">
      <w:pPr>
        <w:spacing w:after="0" w:line="240" w:lineRule="auto"/>
        <w:rPr>
          <w:b/>
        </w:rPr>
      </w:pPr>
      <w:r>
        <w:t xml:space="preserve">Termin der Vorbesprechung: 11. Februar 2020, 14-16 Uhr, Raum </w:t>
      </w:r>
      <w:proofErr w:type="spellStart"/>
      <w:r>
        <w:t>RuW</w:t>
      </w:r>
      <w:proofErr w:type="spellEnd"/>
      <w:r>
        <w:t xml:space="preserve"> 4.101</w:t>
      </w:r>
      <w:r>
        <w:br/>
      </w:r>
      <w:r w:rsidRPr="00CA71EB">
        <w:rPr>
          <w:b/>
        </w:rPr>
        <w:t xml:space="preserve">Termine des Seminars: Montag, 6. Juli und Montag 13. Juli, 10-18 Uhr, Raum </w:t>
      </w:r>
      <w:proofErr w:type="spellStart"/>
      <w:r w:rsidRPr="00CA71EB">
        <w:rPr>
          <w:b/>
        </w:rPr>
        <w:t>RuW</w:t>
      </w:r>
      <w:proofErr w:type="spellEnd"/>
      <w:r w:rsidRPr="00CA71EB">
        <w:rPr>
          <w:b/>
        </w:rPr>
        <w:t xml:space="preserve"> 4.101.</w:t>
      </w:r>
    </w:p>
    <w:p w:rsidR="00BF054B" w:rsidRPr="00CA71EB" w:rsidRDefault="00BF054B" w:rsidP="00AC170A">
      <w:pPr>
        <w:spacing w:after="0" w:line="240" w:lineRule="auto"/>
        <w:rPr>
          <w:b/>
        </w:rPr>
      </w:pPr>
    </w:p>
    <w:p w:rsidR="00CA71EB" w:rsidRDefault="00CA71EB" w:rsidP="00AC170A">
      <w:pPr>
        <w:spacing w:after="0" w:line="240" w:lineRule="auto"/>
        <w:jc w:val="center"/>
        <w:rPr>
          <w:b/>
        </w:rPr>
      </w:pPr>
    </w:p>
    <w:p w:rsidR="00CA71EB" w:rsidRDefault="00CA71EB" w:rsidP="00AC170A">
      <w:pPr>
        <w:spacing w:after="0" w:line="240" w:lineRule="auto"/>
        <w:jc w:val="center"/>
        <w:rPr>
          <w:b/>
        </w:rPr>
      </w:pPr>
      <w:r>
        <w:rPr>
          <w:b/>
        </w:rPr>
        <w:t>Referate</w:t>
      </w:r>
    </w:p>
    <w:p w:rsidR="00BF054B" w:rsidRPr="00CA71EB" w:rsidRDefault="00BF054B" w:rsidP="00AC170A">
      <w:pPr>
        <w:spacing w:after="0" w:line="240" w:lineRule="auto"/>
        <w:jc w:val="center"/>
        <w:rPr>
          <w:b/>
        </w:rPr>
      </w:pPr>
    </w:p>
    <w:p w:rsidR="00CA71EB" w:rsidRPr="00CA71EB" w:rsidRDefault="00DC0F6B" w:rsidP="00AC170A">
      <w:pPr>
        <w:pStyle w:val="Listenabsatz"/>
        <w:numPr>
          <w:ilvl w:val="0"/>
          <w:numId w:val="2"/>
        </w:numPr>
        <w:spacing w:after="0" w:line="240" w:lineRule="auto"/>
      </w:pPr>
      <w:r w:rsidRPr="003852AF">
        <w:rPr>
          <w:b/>
        </w:rPr>
        <w:t>Kriminalitätsfelder</w:t>
      </w:r>
    </w:p>
    <w:p w:rsidR="00CA71EB" w:rsidRDefault="00DC0F6B" w:rsidP="00AC170A">
      <w:pPr>
        <w:pStyle w:val="Listenabsatz"/>
        <w:numPr>
          <w:ilvl w:val="0"/>
          <w:numId w:val="3"/>
        </w:numPr>
        <w:spacing w:after="0" w:line="240" w:lineRule="auto"/>
      </w:pPr>
      <w:r>
        <w:t>Raser</w:t>
      </w:r>
    </w:p>
    <w:p w:rsidR="00CA71EB" w:rsidRDefault="00DC0F6B" w:rsidP="00AC170A">
      <w:pPr>
        <w:pStyle w:val="Listenabsatz"/>
        <w:numPr>
          <w:ilvl w:val="0"/>
          <w:numId w:val="3"/>
        </w:numPr>
        <w:spacing w:after="0" w:line="240" w:lineRule="auto"/>
      </w:pPr>
      <w:r>
        <w:t>Amokläufe</w:t>
      </w:r>
    </w:p>
    <w:p w:rsidR="00CA71EB" w:rsidRDefault="00DC0F6B" w:rsidP="00AC170A">
      <w:pPr>
        <w:pStyle w:val="Listenabsatz"/>
        <w:numPr>
          <w:ilvl w:val="0"/>
          <w:numId w:val="3"/>
        </w:numPr>
        <w:spacing w:after="0" w:line="240" w:lineRule="auto"/>
      </w:pPr>
      <w:r>
        <w:t>„Ehrenmorde“</w:t>
      </w:r>
    </w:p>
    <w:p w:rsidR="00CA71EB" w:rsidRDefault="00DC0F6B" w:rsidP="00AC170A">
      <w:pPr>
        <w:pStyle w:val="Listenabsatz"/>
        <w:numPr>
          <w:ilvl w:val="0"/>
          <w:numId w:val="3"/>
        </w:numPr>
        <w:spacing w:after="0" w:line="240" w:lineRule="auto"/>
      </w:pPr>
      <w:r>
        <w:t>Drogendelikte</w:t>
      </w:r>
    </w:p>
    <w:p w:rsidR="00DC0F6B" w:rsidRDefault="00DC0F6B" w:rsidP="00AC170A">
      <w:pPr>
        <w:pStyle w:val="Listenabsatz"/>
        <w:numPr>
          <w:ilvl w:val="0"/>
          <w:numId w:val="3"/>
        </w:numPr>
        <w:spacing w:after="0" w:line="240" w:lineRule="auto"/>
      </w:pPr>
      <w:r>
        <w:t>Bagatelldelikte</w:t>
      </w:r>
    </w:p>
    <w:p w:rsidR="00AC170A" w:rsidRDefault="00AC170A" w:rsidP="00AC170A">
      <w:pPr>
        <w:pStyle w:val="Listenabsatz"/>
        <w:numPr>
          <w:ilvl w:val="0"/>
          <w:numId w:val="3"/>
        </w:numPr>
        <w:spacing w:after="0" w:line="240" w:lineRule="auto"/>
      </w:pPr>
      <w:r>
        <w:t>(Cyber-) Mobbing</w:t>
      </w:r>
      <w:r w:rsidR="00940604">
        <w:t xml:space="preserve"> (inkl. Mobbingerfahrungen als kriminogener Faktor)</w:t>
      </w:r>
    </w:p>
    <w:p w:rsidR="00CA71EB" w:rsidRPr="00CA71EB" w:rsidRDefault="00CA71EB" w:rsidP="00AC170A">
      <w:pPr>
        <w:pStyle w:val="Listenabsatz"/>
        <w:spacing w:after="0" w:line="240" w:lineRule="auto"/>
      </w:pPr>
    </w:p>
    <w:p w:rsidR="00CA71EB" w:rsidRPr="00CA71EB" w:rsidRDefault="00DC0F6B" w:rsidP="00AC170A">
      <w:pPr>
        <w:pStyle w:val="Listenabsatz"/>
        <w:numPr>
          <w:ilvl w:val="0"/>
          <w:numId w:val="5"/>
        </w:numPr>
        <w:spacing w:after="0" w:line="240" w:lineRule="auto"/>
      </w:pPr>
      <w:r w:rsidRPr="00CA71EB">
        <w:rPr>
          <w:b/>
        </w:rPr>
        <w:t>Kriminalitätsursachen</w:t>
      </w:r>
    </w:p>
    <w:p w:rsidR="00CA71EB" w:rsidRDefault="00DC0F6B" w:rsidP="00AC170A">
      <w:pPr>
        <w:pStyle w:val="Listenabsatz"/>
        <w:numPr>
          <w:ilvl w:val="0"/>
          <w:numId w:val="3"/>
        </w:numPr>
        <w:spacing w:after="0" w:line="240" w:lineRule="auto"/>
      </w:pPr>
      <w:r>
        <w:t>Was sagen die Theorien?</w:t>
      </w:r>
    </w:p>
    <w:p w:rsidR="00CA71EB" w:rsidRDefault="00DC0F6B" w:rsidP="00AC170A">
      <w:pPr>
        <w:pStyle w:val="Listenabsatz"/>
        <w:numPr>
          <w:ilvl w:val="0"/>
          <w:numId w:val="3"/>
        </w:numPr>
        <w:spacing w:after="0" w:line="240" w:lineRule="auto"/>
      </w:pPr>
      <w:r>
        <w:t>(Bürger-) Kriege</w:t>
      </w:r>
    </w:p>
    <w:p w:rsidR="00CA71EB" w:rsidRDefault="00DC0F6B" w:rsidP="00AC170A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Familiäres </w:t>
      </w:r>
      <w:r w:rsidR="00940604">
        <w:t xml:space="preserve">und kulturelles </w:t>
      </w:r>
      <w:r>
        <w:t>Umfeld</w:t>
      </w:r>
    </w:p>
    <w:p w:rsidR="00CA71EB" w:rsidRDefault="00940604" w:rsidP="00AC170A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Medienkonsum (Videospiele, Filme u.a.) </w:t>
      </w:r>
    </w:p>
    <w:p w:rsidR="00AC170A" w:rsidRDefault="00DC0F6B" w:rsidP="00AC170A">
      <w:pPr>
        <w:pStyle w:val="Listenabsatz"/>
        <w:numPr>
          <w:ilvl w:val="0"/>
          <w:numId w:val="3"/>
        </w:numPr>
        <w:spacing w:after="0" w:line="240" w:lineRule="auto"/>
      </w:pPr>
      <w:r>
        <w:t>Gesellschaftliche Ursachen (z.B. Konsumgesellschaft)</w:t>
      </w:r>
    </w:p>
    <w:p w:rsidR="00DC0F6B" w:rsidRPr="00DC0F6B" w:rsidRDefault="00DC0F6B" w:rsidP="00940604">
      <w:pPr>
        <w:pStyle w:val="Listenabsatz"/>
        <w:spacing w:after="0" w:line="240" w:lineRule="auto"/>
      </w:pPr>
      <w:r>
        <w:br/>
      </w:r>
    </w:p>
    <w:p w:rsidR="00CA71EB" w:rsidRPr="00CA71EB" w:rsidRDefault="00DC0F6B" w:rsidP="00AC170A">
      <w:pPr>
        <w:pStyle w:val="Listenabsatz"/>
        <w:numPr>
          <w:ilvl w:val="0"/>
          <w:numId w:val="5"/>
        </w:numPr>
        <w:spacing w:after="0" w:line="240" w:lineRule="auto"/>
      </w:pPr>
      <w:r w:rsidRPr="00CA71EB">
        <w:rPr>
          <w:b/>
        </w:rPr>
        <w:t>Kriminalität und Kriminalisierung Jugendlicher und Heranwachsender</w:t>
      </w:r>
    </w:p>
    <w:p w:rsidR="00CA71EB" w:rsidRDefault="00DC0F6B" w:rsidP="00BF054B">
      <w:pPr>
        <w:pStyle w:val="Listenabsatz"/>
        <w:numPr>
          <w:ilvl w:val="0"/>
          <w:numId w:val="16"/>
        </w:numPr>
        <w:spacing w:after="0" w:line="240" w:lineRule="auto"/>
      </w:pPr>
      <w:r>
        <w:t xml:space="preserve">Ausmaß der Kriminalität </w:t>
      </w:r>
      <w:r w:rsidRPr="00DC0F6B">
        <w:t>Jugendlicher und Heranwachsender</w:t>
      </w:r>
    </w:p>
    <w:p w:rsidR="00AC170A" w:rsidRDefault="00AC170A" w:rsidP="00BF054B">
      <w:pPr>
        <w:pStyle w:val="Listenabsatz"/>
        <w:numPr>
          <w:ilvl w:val="0"/>
          <w:numId w:val="16"/>
        </w:numPr>
        <w:spacing w:after="0" w:line="240" w:lineRule="auto"/>
      </w:pPr>
      <w:r>
        <w:t>Die Kriminalität männlichen und weiblichen Jugendlichen und Heranwachsenden</w:t>
      </w:r>
    </w:p>
    <w:p w:rsidR="00AC170A" w:rsidRDefault="00AC170A" w:rsidP="00BF054B">
      <w:pPr>
        <w:pStyle w:val="Listenabsatz"/>
        <w:numPr>
          <w:ilvl w:val="0"/>
          <w:numId w:val="16"/>
        </w:numPr>
        <w:spacing w:after="0" w:line="240" w:lineRule="auto"/>
      </w:pPr>
      <w:r>
        <w:t>Jugendliche Mehrfach- und Intensivtäter</w:t>
      </w:r>
    </w:p>
    <w:p w:rsidR="00CA71EB" w:rsidRDefault="00DC0F6B" w:rsidP="00BF054B">
      <w:pPr>
        <w:pStyle w:val="Listenabsatz"/>
        <w:numPr>
          <w:ilvl w:val="0"/>
          <w:numId w:val="16"/>
        </w:numPr>
        <w:spacing w:after="0" w:line="240" w:lineRule="auto"/>
      </w:pPr>
      <w:r>
        <w:t xml:space="preserve">Kriminalisierung </w:t>
      </w:r>
      <w:r w:rsidRPr="00DC0F6B">
        <w:t>Jugendlicher und Heranwachsender</w:t>
      </w:r>
    </w:p>
    <w:p w:rsidR="00CA71EB" w:rsidRDefault="00DC0F6B" w:rsidP="00BF054B">
      <w:pPr>
        <w:pStyle w:val="Listenabsatz"/>
        <w:numPr>
          <w:ilvl w:val="0"/>
          <w:numId w:val="16"/>
        </w:numPr>
        <w:spacing w:after="0" w:line="240" w:lineRule="auto"/>
      </w:pPr>
      <w:r>
        <w:t>War es immer schon so? Ein Blick in die Kriminalitäts- und Kriminalisierungsgeschichte</w:t>
      </w:r>
    </w:p>
    <w:p w:rsidR="00DC0F6B" w:rsidRPr="00DC0F6B" w:rsidRDefault="00CA71EB" w:rsidP="00940604">
      <w:pPr>
        <w:spacing w:after="0" w:line="240" w:lineRule="auto"/>
        <w:ind w:left="360"/>
      </w:pPr>
      <w:r>
        <w:br/>
      </w:r>
    </w:p>
    <w:p w:rsidR="00CA71EB" w:rsidRPr="00CA71EB" w:rsidRDefault="00DC0F6B" w:rsidP="00AC170A">
      <w:pPr>
        <w:pStyle w:val="Listenabsatz"/>
        <w:numPr>
          <w:ilvl w:val="0"/>
          <w:numId w:val="5"/>
        </w:numPr>
        <w:spacing w:after="0" w:line="240" w:lineRule="auto"/>
      </w:pPr>
      <w:r w:rsidRPr="00CA71EB">
        <w:rPr>
          <w:b/>
        </w:rPr>
        <w:t>Kriminalität und Kriminalisierung junger „Ausländer“</w:t>
      </w:r>
    </w:p>
    <w:p w:rsidR="00CA71EB" w:rsidRDefault="00DC0F6B" w:rsidP="00BF054B">
      <w:pPr>
        <w:pStyle w:val="Listenabsatz"/>
        <w:numPr>
          <w:ilvl w:val="0"/>
          <w:numId w:val="17"/>
        </w:numPr>
        <w:spacing w:after="0" w:line="240" w:lineRule="auto"/>
      </w:pPr>
      <w:r>
        <w:t>Was wissen wir darüber?</w:t>
      </w:r>
      <w:r w:rsidR="00940604">
        <w:t xml:space="preserve"> (Inkl. Begriff des „Ausländers“)</w:t>
      </w:r>
    </w:p>
    <w:p w:rsidR="00753E38" w:rsidRDefault="00753E38" w:rsidP="00BF054B">
      <w:pPr>
        <w:pStyle w:val="Listenabsatz"/>
        <w:numPr>
          <w:ilvl w:val="0"/>
          <w:numId w:val="17"/>
        </w:numPr>
        <w:spacing w:after="0" w:line="240" w:lineRule="auto"/>
      </w:pPr>
      <w:r>
        <w:t>Was sagt das JGG darüber?</w:t>
      </w:r>
    </w:p>
    <w:p w:rsidR="00CA71EB" w:rsidRDefault="00DC0F6B" w:rsidP="00BF054B">
      <w:pPr>
        <w:pStyle w:val="Listenabsatz"/>
        <w:numPr>
          <w:ilvl w:val="0"/>
          <w:numId w:val="17"/>
        </w:numPr>
        <w:spacing w:after="0" w:line="240" w:lineRule="auto"/>
      </w:pPr>
      <w:r>
        <w:t>Spezifische Kriminalität</w:t>
      </w:r>
    </w:p>
    <w:p w:rsidR="00CA71EB" w:rsidRDefault="00DC0F6B" w:rsidP="00BF054B">
      <w:pPr>
        <w:pStyle w:val="Listenabsatz"/>
        <w:numPr>
          <w:ilvl w:val="0"/>
          <w:numId w:val="17"/>
        </w:numPr>
        <w:spacing w:after="0" w:line="240" w:lineRule="auto"/>
      </w:pPr>
      <w:r>
        <w:t>Spezifische Kriminalitätsursachen</w:t>
      </w:r>
    </w:p>
    <w:p w:rsidR="00DC0F6B" w:rsidRDefault="00DC0F6B" w:rsidP="00BF054B">
      <w:pPr>
        <w:pStyle w:val="Listenabsatz"/>
        <w:numPr>
          <w:ilvl w:val="0"/>
          <w:numId w:val="17"/>
        </w:numPr>
        <w:spacing w:after="0" w:line="240" w:lineRule="auto"/>
      </w:pPr>
      <w:r>
        <w:t>Spezifische Kriminalisierung</w:t>
      </w:r>
      <w:r w:rsidR="00CA71EB">
        <w:br/>
      </w:r>
    </w:p>
    <w:p w:rsidR="00CA71EB" w:rsidRDefault="00DC0F6B" w:rsidP="00AC170A">
      <w:pPr>
        <w:pStyle w:val="Listenabsatz"/>
        <w:numPr>
          <w:ilvl w:val="0"/>
          <w:numId w:val="5"/>
        </w:numPr>
        <w:spacing w:after="0" w:line="240" w:lineRule="auto"/>
        <w:rPr>
          <w:b/>
        </w:rPr>
      </w:pPr>
      <w:r w:rsidRPr="00CA71EB">
        <w:rPr>
          <w:b/>
        </w:rPr>
        <w:t>Reaktionen auf die Kriminalität Jugendlicher und Heranwachsender</w:t>
      </w:r>
    </w:p>
    <w:p w:rsidR="00CA71EB" w:rsidRPr="00AC170A" w:rsidRDefault="00DC0F6B" w:rsidP="00AC170A">
      <w:pPr>
        <w:pStyle w:val="Listenabsatz"/>
        <w:numPr>
          <w:ilvl w:val="0"/>
          <w:numId w:val="12"/>
        </w:numPr>
        <w:spacing w:after="0" w:line="240" w:lineRule="auto"/>
        <w:rPr>
          <w:b/>
        </w:rPr>
      </w:pPr>
      <w:r>
        <w:t>Jugendkriminalität in den Medien</w:t>
      </w:r>
    </w:p>
    <w:p w:rsidR="00AC170A" w:rsidRPr="00AC170A" w:rsidRDefault="00AC170A" w:rsidP="00AC170A">
      <w:pPr>
        <w:pStyle w:val="Listenabsatz"/>
        <w:numPr>
          <w:ilvl w:val="0"/>
          <w:numId w:val="12"/>
        </w:numPr>
        <w:spacing w:after="0" w:line="240" w:lineRule="auto"/>
        <w:rPr>
          <w:b/>
        </w:rPr>
      </w:pPr>
      <w:r>
        <w:t>Die Strafmündigkeitsgrenze von § 18 StGB</w:t>
      </w:r>
    </w:p>
    <w:p w:rsidR="00CA71EB" w:rsidRPr="00CA71EB" w:rsidRDefault="00DC0F6B" w:rsidP="00AC170A">
      <w:pPr>
        <w:pStyle w:val="Listenabsatz"/>
        <w:numPr>
          <w:ilvl w:val="0"/>
          <w:numId w:val="12"/>
        </w:numPr>
        <w:spacing w:after="0" w:line="240" w:lineRule="auto"/>
        <w:rPr>
          <w:b/>
        </w:rPr>
      </w:pPr>
      <w:r>
        <w:t>Die Rechtsfolgen des JGG</w:t>
      </w:r>
      <w:r w:rsidR="00BF054B">
        <w:t xml:space="preserve"> und ihre „Realität“</w:t>
      </w:r>
    </w:p>
    <w:p w:rsidR="00753E38" w:rsidRPr="00753E38" w:rsidRDefault="00DC0F6B" w:rsidP="00AC170A">
      <w:pPr>
        <w:pStyle w:val="Listenabsatz"/>
        <w:numPr>
          <w:ilvl w:val="0"/>
          <w:numId w:val="12"/>
        </w:numPr>
        <w:spacing w:after="0" w:line="240" w:lineRule="auto"/>
        <w:rPr>
          <w:b/>
        </w:rPr>
      </w:pPr>
      <w:r>
        <w:t>Diversion</w:t>
      </w:r>
    </w:p>
    <w:p w:rsidR="00940604" w:rsidRDefault="00940604" w:rsidP="00AC170A">
      <w:pPr>
        <w:spacing w:after="0" w:line="240" w:lineRule="auto"/>
        <w:ind w:left="360"/>
        <w:rPr>
          <w:b/>
        </w:rPr>
      </w:pPr>
    </w:p>
    <w:p w:rsidR="00DC0F6B" w:rsidRDefault="00AC170A" w:rsidP="00AC170A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>„Bewerbungsverfahren“</w:t>
      </w:r>
    </w:p>
    <w:p w:rsidR="00AC170A" w:rsidRDefault="00AC170A" w:rsidP="00AC170A">
      <w:pPr>
        <w:spacing w:after="0" w:line="240" w:lineRule="auto"/>
        <w:ind w:left="360"/>
        <w:rPr>
          <w:b/>
        </w:rPr>
      </w:pPr>
    </w:p>
    <w:p w:rsidR="00DC45F5" w:rsidRPr="00DC45F5" w:rsidRDefault="00DC45F5" w:rsidP="00AC170A">
      <w:pPr>
        <w:spacing w:after="0" w:line="240" w:lineRule="auto"/>
        <w:ind w:left="360"/>
      </w:pPr>
      <w:r w:rsidRPr="00DC45F5">
        <w:rPr>
          <w:b/>
        </w:rPr>
        <w:t>Hinweis:</w:t>
      </w:r>
      <w:r w:rsidRPr="00DC45F5">
        <w:t xml:space="preserve"> Es können nur Bewerbungen von Interessenten berücksichtigt werden, die an der Vorbesprechung teilgenommen haben. </w:t>
      </w:r>
    </w:p>
    <w:p w:rsidR="00DC45F5" w:rsidRDefault="00DC45F5" w:rsidP="00AC170A">
      <w:pPr>
        <w:spacing w:after="0" w:line="240" w:lineRule="auto"/>
        <w:ind w:left="360"/>
        <w:rPr>
          <w:b/>
        </w:rPr>
      </w:pPr>
    </w:p>
    <w:p w:rsidR="00AC170A" w:rsidRDefault="00AC170A" w:rsidP="00AC170A">
      <w:pPr>
        <w:spacing w:after="0" w:line="240" w:lineRule="auto"/>
        <w:ind w:left="360"/>
      </w:pPr>
      <w:r>
        <w:t>Bitte bewerben Sie sich</w:t>
      </w:r>
      <w:r w:rsidR="007351B7">
        <w:t xml:space="preserve"> – </w:t>
      </w:r>
      <w:r w:rsidR="007351B7" w:rsidRPr="007351B7">
        <w:rPr>
          <w:b/>
        </w:rPr>
        <w:t>bis einschließlich</w:t>
      </w:r>
      <w:r w:rsidRPr="007351B7">
        <w:rPr>
          <w:b/>
        </w:rPr>
        <w:t xml:space="preserve"> </w:t>
      </w:r>
      <w:r w:rsidR="00BF054B">
        <w:rPr>
          <w:b/>
        </w:rPr>
        <w:t xml:space="preserve">den </w:t>
      </w:r>
      <w:r w:rsidR="007351B7" w:rsidRPr="007351B7">
        <w:rPr>
          <w:b/>
        </w:rPr>
        <w:t>1</w:t>
      </w:r>
      <w:r w:rsidR="00BF054B">
        <w:rPr>
          <w:b/>
        </w:rPr>
        <w:t>9</w:t>
      </w:r>
      <w:r w:rsidR="007351B7" w:rsidRPr="007351B7">
        <w:rPr>
          <w:b/>
        </w:rPr>
        <w:t>. Februar</w:t>
      </w:r>
      <w:r w:rsidR="007351B7">
        <w:t xml:space="preserve"> ‒ </w:t>
      </w:r>
      <w:r>
        <w:t>um die Teilnahme an dem Seminar an die Adresse von m</w:t>
      </w:r>
      <w:bookmarkStart w:id="0" w:name="_GoBack"/>
      <w:bookmarkEnd w:id="0"/>
      <w:r>
        <w:t xml:space="preserve">einem Mitarbeiter, Herrn Sascha Zinn: </w:t>
      </w:r>
      <w:hyperlink r:id="rId7" w:history="1">
        <w:r w:rsidRPr="00D75D74">
          <w:rPr>
            <w:rStyle w:val="Hyperlink"/>
          </w:rPr>
          <w:t>Zinn@jur.uni-frankfurt.de</w:t>
        </w:r>
      </w:hyperlink>
      <w:r w:rsidR="007351B7">
        <w:t>.</w:t>
      </w:r>
    </w:p>
    <w:p w:rsidR="007351B7" w:rsidRDefault="007351B7" w:rsidP="00AC170A">
      <w:pPr>
        <w:spacing w:after="0" w:line="240" w:lineRule="auto"/>
        <w:ind w:left="360"/>
      </w:pPr>
    </w:p>
    <w:p w:rsidR="007351B7" w:rsidRDefault="007351B7" w:rsidP="00AC170A">
      <w:pPr>
        <w:spacing w:after="0" w:line="240" w:lineRule="auto"/>
        <w:ind w:left="360"/>
      </w:pPr>
      <w:r>
        <w:t xml:space="preserve">Sie erhalten spätestens am 25. Februar Nachricht über </w:t>
      </w:r>
      <w:r w:rsidR="00BF054B">
        <w:t xml:space="preserve">den Erfolg Ihrer Bewerbung </w:t>
      </w:r>
      <w:r>
        <w:t>und gg</w:t>
      </w:r>
      <w:r w:rsidR="00BF054B">
        <w:t>f</w:t>
      </w:r>
      <w:r>
        <w:t>. die Aufforderung, sich um ein bisher nicht vergebenes Thema in „zweiter Runde“ zu bewerben.</w:t>
      </w:r>
    </w:p>
    <w:p w:rsidR="00AC170A" w:rsidRDefault="00AC170A" w:rsidP="00AC170A">
      <w:pPr>
        <w:spacing w:after="0" w:line="240" w:lineRule="auto"/>
        <w:ind w:left="360"/>
      </w:pPr>
    </w:p>
    <w:p w:rsidR="00AC170A" w:rsidRDefault="00AC170A" w:rsidP="00AC170A">
      <w:pPr>
        <w:spacing w:after="0" w:line="240" w:lineRule="auto"/>
        <w:ind w:left="360"/>
      </w:pPr>
      <w:r>
        <w:t xml:space="preserve">In Ihrer Bewerbung sollten </w:t>
      </w:r>
      <w:r w:rsidRPr="007351B7">
        <w:rPr>
          <w:b/>
        </w:rPr>
        <w:t>folgenden Angaben</w:t>
      </w:r>
      <w:r>
        <w:t xml:space="preserve"> enthalten sein:</w:t>
      </w:r>
    </w:p>
    <w:p w:rsidR="00AC170A" w:rsidRDefault="00AC170A" w:rsidP="00AC170A">
      <w:pPr>
        <w:spacing w:after="0" w:line="240" w:lineRule="auto"/>
        <w:ind w:left="360"/>
      </w:pPr>
    </w:p>
    <w:p w:rsidR="00AC170A" w:rsidRDefault="00AC170A" w:rsidP="00AC170A">
      <w:pPr>
        <w:pStyle w:val="Listenabsatz"/>
        <w:numPr>
          <w:ilvl w:val="0"/>
          <w:numId w:val="13"/>
        </w:numPr>
        <w:spacing w:after="0" w:line="240" w:lineRule="auto"/>
      </w:pPr>
      <w:r>
        <w:t>Drei Referatsthemen nach Ihrer Pri</w:t>
      </w:r>
      <w:r w:rsidR="007351B7">
        <w:t>o</w:t>
      </w:r>
      <w:r>
        <w:t>rität,</w:t>
      </w:r>
    </w:p>
    <w:p w:rsidR="00AC170A" w:rsidRDefault="00AC170A" w:rsidP="00AC170A">
      <w:pPr>
        <w:pStyle w:val="Listenabsatz"/>
        <w:numPr>
          <w:ilvl w:val="0"/>
          <w:numId w:val="13"/>
        </w:numPr>
        <w:spacing w:after="0" w:line="240" w:lineRule="auto"/>
      </w:pPr>
      <w:r>
        <w:t>Fachsemesterzahl,</w:t>
      </w:r>
    </w:p>
    <w:p w:rsidR="00AC170A" w:rsidRDefault="00AC170A" w:rsidP="00AC170A">
      <w:pPr>
        <w:pStyle w:val="Listenabsatz"/>
        <w:numPr>
          <w:ilvl w:val="0"/>
          <w:numId w:val="13"/>
        </w:numPr>
        <w:spacing w:after="0" w:line="240" w:lineRule="auto"/>
      </w:pPr>
      <w:r>
        <w:t>Fachbereich und Schwerpunktbereich,</w:t>
      </w:r>
    </w:p>
    <w:p w:rsidR="00AC170A" w:rsidRDefault="00AC170A" w:rsidP="00AC170A">
      <w:pPr>
        <w:pStyle w:val="Listenabsatz"/>
        <w:numPr>
          <w:ilvl w:val="0"/>
          <w:numId w:val="13"/>
        </w:numPr>
        <w:spacing w:after="0" w:line="240" w:lineRule="auto"/>
      </w:pPr>
      <w:r>
        <w:t>Übersicht über die Veranstaltungen Ihres bisherigen Schwerpunktstudiums</w:t>
      </w:r>
      <w:r w:rsidR="007351B7">
        <w:t xml:space="preserve">, insbesondere Teilnahme am Kolloquium „Kriminologie“ </w:t>
      </w:r>
    </w:p>
    <w:p w:rsidR="00AC170A" w:rsidRDefault="00AC170A" w:rsidP="00BF054B">
      <w:pPr>
        <w:pStyle w:val="Listenabsatz"/>
        <w:numPr>
          <w:ilvl w:val="0"/>
          <w:numId w:val="13"/>
        </w:numPr>
        <w:spacing w:after="0" w:line="240" w:lineRule="auto"/>
      </w:pPr>
      <w:r>
        <w:t>Hinweise auf</w:t>
      </w:r>
      <w:r w:rsidR="00BF054B">
        <w:t xml:space="preserve"> </w:t>
      </w:r>
      <w:r>
        <w:t xml:space="preserve">Wunsch auf </w:t>
      </w:r>
      <w:r w:rsidR="00BF054B">
        <w:t>Teilnahme notfalls ohne Referat.</w:t>
      </w:r>
    </w:p>
    <w:p w:rsidR="007351B7" w:rsidRDefault="007351B7" w:rsidP="007351B7">
      <w:pPr>
        <w:spacing w:after="0" w:line="240" w:lineRule="auto"/>
      </w:pPr>
    </w:p>
    <w:p w:rsidR="007351B7" w:rsidRPr="00AC170A" w:rsidRDefault="007351B7" w:rsidP="00DC45F5">
      <w:pPr>
        <w:spacing w:after="0" w:line="240" w:lineRule="auto"/>
      </w:pPr>
    </w:p>
    <w:sectPr w:rsidR="007351B7" w:rsidRPr="00AC170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4A" w:rsidRDefault="00D4374A" w:rsidP="00AC170A">
      <w:pPr>
        <w:spacing w:after="0" w:line="240" w:lineRule="auto"/>
      </w:pPr>
      <w:r>
        <w:separator/>
      </w:r>
    </w:p>
  </w:endnote>
  <w:endnote w:type="continuationSeparator" w:id="0">
    <w:p w:rsidR="00D4374A" w:rsidRDefault="00D4374A" w:rsidP="00AC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550074"/>
      <w:docPartObj>
        <w:docPartGallery w:val="Page Numbers (Bottom of Page)"/>
        <w:docPartUnique/>
      </w:docPartObj>
    </w:sdtPr>
    <w:sdtEndPr/>
    <w:sdtContent>
      <w:p w:rsidR="00AC170A" w:rsidRDefault="00AC17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F5">
          <w:rPr>
            <w:noProof/>
          </w:rPr>
          <w:t>2</w:t>
        </w:r>
        <w:r>
          <w:fldChar w:fldCharType="end"/>
        </w:r>
      </w:p>
    </w:sdtContent>
  </w:sdt>
  <w:p w:rsidR="00AC170A" w:rsidRDefault="00AC17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4A" w:rsidRDefault="00D4374A" w:rsidP="00AC170A">
      <w:pPr>
        <w:spacing w:after="0" w:line="240" w:lineRule="auto"/>
      </w:pPr>
      <w:r>
        <w:separator/>
      </w:r>
    </w:p>
  </w:footnote>
  <w:footnote w:type="continuationSeparator" w:id="0">
    <w:p w:rsidR="00D4374A" w:rsidRDefault="00D4374A" w:rsidP="00AC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31"/>
    <w:multiLevelType w:val="hybridMultilevel"/>
    <w:tmpl w:val="1AE65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A61"/>
    <w:multiLevelType w:val="hybridMultilevel"/>
    <w:tmpl w:val="430EF0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DF8"/>
    <w:multiLevelType w:val="hybridMultilevel"/>
    <w:tmpl w:val="90DE3512"/>
    <w:lvl w:ilvl="0" w:tplc="37D4480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867E7"/>
    <w:multiLevelType w:val="hybridMultilevel"/>
    <w:tmpl w:val="A8B26942"/>
    <w:lvl w:ilvl="0" w:tplc="01BE2C9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C422E"/>
    <w:multiLevelType w:val="hybridMultilevel"/>
    <w:tmpl w:val="2D7E84F2"/>
    <w:lvl w:ilvl="0" w:tplc="EBD6275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A6575"/>
    <w:multiLevelType w:val="hybridMultilevel"/>
    <w:tmpl w:val="FCEEE026"/>
    <w:lvl w:ilvl="0" w:tplc="732034B4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F6A79"/>
    <w:multiLevelType w:val="hybridMultilevel"/>
    <w:tmpl w:val="CDF485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939BB"/>
    <w:multiLevelType w:val="hybridMultilevel"/>
    <w:tmpl w:val="EE70FA98"/>
    <w:lvl w:ilvl="0" w:tplc="CF1C12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32ED4"/>
    <w:multiLevelType w:val="hybridMultilevel"/>
    <w:tmpl w:val="EDD6D74C"/>
    <w:lvl w:ilvl="0" w:tplc="A8A692F6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474D32"/>
    <w:multiLevelType w:val="hybridMultilevel"/>
    <w:tmpl w:val="5E9CFCA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3FAB"/>
    <w:multiLevelType w:val="hybridMultilevel"/>
    <w:tmpl w:val="A336C7F2"/>
    <w:lvl w:ilvl="0" w:tplc="597E88F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756514"/>
    <w:multiLevelType w:val="hybridMultilevel"/>
    <w:tmpl w:val="764829FC"/>
    <w:lvl w:ilvl="0" w:tplc="0D862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6775A"/>
    <w:multiLevelType w:val="hybridMultilevel"/>
    <w:tmpl w:val="1F2EAD5C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334AB"/>
    <w:multiLevelType w:val="hybridMultilevel"/>
    <w:tmpl w:val="36DCEDFE"/>
    <w:lvl w:ilvl="0" w:tplc="12C6ADC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6B3E"/>
    <w:multiLevelType w:val="hybridMultilevel"/>
    <w:tmpl w:val="F034AEA4"/>
    <w:lvl w:ilvl="0" w:tplc="36F247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4061F"/>
    <w:multiLevelType w:val="hybridMultilevel"/>
    <w:tmpl w:val="E272BC72"/>
    <w:lvl w:ilvl="0" w:tplc="941C8B1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076F6"/>
    <w:multiLevelType w:val="hybridMultilevel"/>
    <w:tmpl w:val="2D6033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6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6B"/>
    <w:rsid w:val="003852AF"/>
    <w:rsid w:val="004A0639"/>
    <w:rsid w:val="005562B9"/>
    <w:rsid w:val="007351B7"/>
    <w:rsid w:val="00753E38"/>
    <w:rsid w:val="00940604"/>
    <w:rsid w:val="00A308FC"/>
    <w:rsid w:val="00AC170A"/>
    <w:rsid w:val="00BF054B"/>
    <w:rsid w:val="00C42FA1"/>
    <w:rsid w:val="00CA71EB"/>
    <w:rsid w:val="00D4374A"/>
    <w:rsid w:val="00DC0F6B"/>
    <w:rsid w:val="00DC45F5"/>
    <w:rsid w:val="00EE7D3A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626"/>
  <w15:chartTrackingRefBased/>
  <w15:docId w15:val="{D96E6E93-3421-4A1D-A08A-3FBE962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52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63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C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70A"/>
  </w:style>
  <w:style w:type="paragraph" w:styleId="Fuzeile">
    <w:name w:val="footer"/>
    <w:basedOn w:val="Standard"/>
    <w:link w:val="FuzeileZchn"/>
    <w:uiPriority w:val="99"/>
    <w:unhideWhenUsed/>
    <w:rsid w:val="00AC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70A"/>
  </w:style>
  <w:style w:type="character" w:styleId="Hyperlink">
    <w:name w:val="Hyperlink"/>
    <w:basedOn w:val="Absatz-Standardschriftart"/>
    <w:uiPriority w:val="99"/>
    <w:unhideWhenUsed/>
    <w:rsid w:val="00AC1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nn@jur.uni-frank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ACAC5C88.dotm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Sascha Zinn</cp:lastModifiedBy>
  <cp:revision>6</cp:revision>
  <cp:lastPrinted>2020-02-11T10:29:00Z</cp:lastPrinted>
  <dcterms:created xsi:type="dcterms:W3CDTF">2020-02-11T10:29:00Z</dcterms:created>
  <dcterms:modified xsi:type="dcterms:W3CDTF">2020-02-13T15:31:00Z</dcterms:modified>
</cp:coreProperties>
</file>