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566" w:rsidRPr="008B7566" w:rsidRDefault="00A02156" w:rsidP="00525130">
      <w:pPr>
        <w:spacing w:before="240"/>
        <w:rPr>
          <w:sz w:val="28"/>
          <w:szCs w:val="28"/>
        </w:rPr>
      </w:pPr>
      <w:bookmarkStart w:id="0" w:name="_Toc270718030"/>
      <w:bookmarkStart w:id="1" w:name="_Toc395724327"/>
      <w:r w:rsidRPr="008B7566">
        <w:rPr>
          <w:b/>
          <w:sz w:val="28"/>
          <w:szCs w:val="28"/>
        </w:rPr>
        <w:t>Cannabis</w:t>
      </w:r>
    </w:p>
    <w:p w:rsidR="00A02156" w:rsidRPr="00A02156" w:rsidRDefault="008B7566" w:rsidP="00A02156">
      <w:r>
        <w:t>Lifetime-</w:t>
      </w:r>
      <w:r w:rsidR="00A02156" w:rsidRPr="00A02156">
        <w:t>, 30-Tages-Prävalenz</w:t>
      </w:r>
      <w:r w:rsidR="00865E4F">
        <w:t xml:space="preserve"> und</w:t>
      </w:r>
      <w:r>
        <w:t xml:space="preserve"> häufiger Konsum</w:t>
      </w:r>
      <w:r w:rsidR="00A02156" w:rsidRPr="00A02156">
        <w:t xml:space="preserve"> (%) in der Altersgruppe 15- bis 18-Jährige nach Jahr der Befragung</w:t>
      </w:r>
      <w:bookmarkEnd w:id="0"/>
      <w:bookmarkEnd w:id="1"/>
      <w:r w:rsidR="00887DA4" w:rsidRPr="00887DA4">
        <w:rPr>
          <w:noProof/>
          <w:lang w:eastAsia="de-DE"/>
        </w:rPr>
        <w:t xml:space="preserve"> </w:t>
      </w:r>
    </w:p>
    <w:p w:rsidR="00826BE2" w:rsidRDefault="00E17B91" w:rsidP="00A02156">
      <w:bookmarkStart w:id="2" w:name="_GoBack"/>
      <w:r w:rsidRPr="00E17B91">
        <w:drawing>
          <wp:inline distT="0" distB="0" distL="0" distR="0">
            <wp:extent cx="5344795" cy="2767965"/>
            <wp:effectExtent l="0" t="0" r="8255" b="13335"/>
            <wp:docPr id="1" name="Diagram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2"/>
    </w:p>
    <w:p w:rsidR="0036418A" w:rsidRDefault="00826BE2" w:rsidP="00A02156">
      <w:r>
        <w:t xml:space="preserve">Quelle: </w:t>
      </w:r>
      <w:proofErr w:type="spellStart"/>
      <w:r w:rsidRPr="00826BE2">
        <w:t>Werse</w:t>
      </w:r>
      <w:proofErr w:type="spellEnd"/>
      <w:r w:rsidRPr="00826BE2">
        <w:t>, B.,</w:t>
      </w:r>
      <w:r>
        <w:t xml:space="preserve"> Morgenstern, C. &amp; </w:t>
      </w:r>
      <w:proofErr w:type="spellStart"/>
      <w:r>
        <w:t>Sarvari</w:t>
      </w:r>
      <w:proofErr w:type="spellEnd"/>
      <w:r>
        <w:t>, L. (2014). MoSyD Jahresbericht 2013</w:t>
      </w:r>
      <w:r w:rsidRPr="00826BE2">
        <w:t xml:space="preserve">. </w:t>
      </w:r>
      <w:r w:rsidRPr="00826BE2">
        <w:rPr>
          <w:i/>
          <w:iCs/>
        </w:rPr>
        <w:t xml:space="preserve">Drogentrends in Frankfurt am Main. </w:t>
      </w:r>
      <w:proofErr w:type="spellStart"/>
      <w:r w:rsidRPr="00826BE2">
        <w:rPr>
          <w:i/>
          <w:iCs/>
        </w:rPr>
        <w:t>Centre</w:t>
      </w:r>
      <w:proofErr w:type="spellEnd"/>
      <w:r w:rsidRPr="00826BE2">
        <w:rPr>
          <w:i/>
          <w:iCs/>
        </w:rPr>
        <w:t xml:space="preserve"> </w:t>
      </w:r>
      <w:proofErr w:type="spellStart"/>
      <w:r w:rsidRPr="00826BE2">
        <w:rPr>
          <w:i/>
          <w:iCs/>
        </w:rPr>
        <w:t>for</w:t>
      </w:r>
      <w:proofErr w:type="spellEnd"/>
      <w:r w:rsidRPr="00826BE2">
        <w:rPr>
          <w:i/>
          <w:iCs/>
        </w:rPr>
        <w:t xml:space="preserve"> Drug Research (CDR), Frankfurt</w:t>
      </w:r>
      <w:r w:rsidRPr="00826BE2">
        <w:t>.</w:t>
      </w:r>
    </w:p>
    <w:sectPr w:rsidR="0036418A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C8E" w:rsidRDefault="00EC1C8E" w:rsidP="00EC1C8E">
      <w:pPr>
        <w:spacing w:after="0" w:line="240" w:lineRule="auto"/>
      </w:pPr>
      <w:r>
        <w:separator/>
      </w:r>
    </w:p>
  </w:endnote>
  <w:endnote w:type="continuationSeparator" w:id="0">
    <w:p w:rsidR="00EC1C8E" w:rsidRDefault="00EC1C8E" w:rsidP="00EC1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C8E" w:rsidRDefault="00EC1C8E" w:rsidP="00EC1C8E">
      <w:pPr>
        <w:spacing w:after="0" w:line="240" w:lineRule="auto"/>
      </w:pPr>
      <w:r>
        <w:separator/>
      </w:r>
    </w:p>
  </w:footnote>
  <w:footnote w:type="continuationSeparator" w:id="0">
    <w:p w:rsidR="00EC1C8E" w:rsidRDefault="00EC1C8E" w:rsidP="00EC1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C8E" w:rsidRDefault="001D025E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hteck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el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1D025E" w:rsidRDefault="001D025E">
                              <w:pPr>
                                <w:pStyle w:val="Kopfzeile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 w:rsidRPr="0011177F">
                                <w:rPr>
                                  <w:caps/>
                                  <w:color w:val="FFFFFF" w:themeColor="background1"/>
                                </w:rPr>
                                <w:t>MOSYD-JAHRESBERICHT 2013 - SCHÜLERBEFRAGUNG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hteck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CYOhWykwIAAJY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el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1D025E" w:rsidRDefault="001D025E">
                        <w:pPr>
                          <w:pStyle w:val="Kopfzeile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 w:rsidRPr="0011177F">
                          <w:rPr>
                            <w:caps/>
                            <w:color w:val="FFFFFF" w:themeColor="background1"/>
                          </w:rPr>
                          <w:t>MOSYD-JAHRESBERICHT 2013 - SCHÜLERBEFRAGUNG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156"/>
    <w:rsid w:val="001D025E"/>
    <w:rsid w:val="00340017"/>
    <w:rsid w:val="0036418A"/>
    <w:rsid w:val="003A1990"/>
    <w:rsid w:val="003E15FF"/>
    <w:rsid w:val="00481CFF"/>
    <w:rsid w:val="00525130"/>
    <w:rsid w:val="00710350"/>
    <w:rsid w:val="00826BE2"/>
    <w:rsid w:val="00865E4F"/>
    <w:rsid w:val="00887DA4"/>
    <w:rsid w:val="008B7566"/>
    <w:rsid w:val="00A02156"/>
    <w:rsid w:val="00B70564"/>
    <w:rsid w:val="00E01D3D"/>
    <w:rsid w:val="00E17B91"/>
    <w:rsid w:val="00EC1C8E"/>
    <w:rsid w:val="00FA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C95C935C-1330-4450-BFBB-F768FCC8B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C1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C1C8E"/>
  </w:style>
  <w:style w:type="paragraph" w:styleId="Fuzeile">
    <w:name w:val="footer"/>
    <w:basedOn w:val="Standard"/>
    <w:link w:val="FuzeileZchn"/>
    <w:uiPriority w:val="99"/>
    <w:unhideWhenUsed/>
    <w:rsid w:val="00EC1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C1C8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0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03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-Arbeitsblat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autoTitleDeleted val="0"/>
    <c:plotArea>
      <c:layout>
        <c:manualLayout>
          <c:layoutTarget val="inner"/>
          <c:xMode val="edge"/>
          <c:yMode val="edge"/>
          <c:x val="1.9963702359346643E-2"/>
          <c:y val="0.13879003558718861"/>
          <c:w val="0.9637023593466425"/>
          <c:h val="0.69592028800942207"/>
        </c:manualLayout>
      </c:layout>
      <c:lineChart>
        <c:grouping val="standard"/>
        <c:varyColors val="0"/>
        <c:ser>
          <c:idx val="0"/>
          <c:order val="0"/>
          <c:tx>
            <c:strRef>
              <c:f>Tabelle1!$B$1</c:f>
              <c:strCache>
                <c:ptCount val="1"/>
                <c:pt idx="0">
                  <c:v>Lifetime</c:v>
                </c:pt>
              </c:strCache>
            </c:strRef>
          </c:tx>
          <c:spPr>
            <a:ln w="31750" cap="rnd">
              <a:solidFill>
                <a:schemeClr val="accent6">
                  <a:shade val="58000"/>
                </a:schemeClr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6">
                  <a:shade val="58000"/>
                </a:schemeClr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de-DE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Tabelle1!$A$2:$A$13</c:f>
              <c:numCache>
                <c:formatCode>General</c:formatCode>
                <c:ptCount val="12"/>
                <c:pt idx="0">
                  <c:v>2002</c:v>
                </c:pt>
                <c:pt idx="1">
                  <c:v>2003</c:v>
                </c:pt>
                <c:pt idx="2">
                  <c:v>2004</c:v>
                </c:pt>
                <c:pt idx="3">
                  <c:v>2005</c:v>
                </c:pt>
                <c:pt idx="4">
                  <c:v>2006</c:v>
                </c:pt>
                <c:pt idx="5">
                  <c:v>2007</c:v>
                </c:pt>
                <c:pt idx="6">
                  <c:v>2008</c:v>
                </c:pt>
                <c:pt idx="7">
                  <c:v>2009</c:v>
                </c:pt>
                <c:pt idx="8">
                  <c:v>2010</c:v>
                </c:pt>
                <c:pt idx="9">
                  <c:v>2011</c:v>
                </c:pt>
                <c:pt idx="10">
                  <c:v>2012</c:v>
                </c:pt>
                <c:pt idx="11">
                  <c:v>2013</c:v>
                </c:pt>
              </c:numCache>
            </c:numRef>
          </c:cat>
          <c:val>
            <c:numRef>
              <c:f>Tabelle1!$B$2:$B$13</c:f>
              <c:numCache>
                <c:formatCode>General</c:formatCode>
                <c:ptCount val="12"/>
                <c:pt idx="0">
                  <c:v>46</c:v>
                </c:pt>
                <c:pt idx="1">
                  <c:v>45</c:v>
                </c:pt>
                <c:pt idx="2">
                  <c:v>38</c:v>
                </c:pt>
                <c:pt idx="3">
                  <c:v>37</c:v>
                </c:pt>
                <c:pt idx="4">
                  <c:v>36</c:v>
                </c:pt>
                <c:pt idx="5">
                  <c:v>34</c:v>
                </c:pt>
                <c:pt idx="6">
                  <c:v>33</c:v>
                </c:pt>
                <c:pt idx="7">
                  <c:v>35</c:v>
                </c:pt>
                <c:pt idx="8">
                  <c:v>35</c:v>
                </c:pt>
                <c:pt idx="9">
                  <c:v>34</c:v>
                </c:pt>
                <c:pt idx="10">
                  <c:v>38</c:v>
                </c:pt>
                <c:pt idx="11">
                  <c:v>42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Tabelle1!$D$1</c:f>
              <c:strCache>
                <c:ptCount val="1"/>
                <c:pt idx="0">
                  <c:v>30 Tage</c:v>
                </c:pt>
              </c:strCache>
            </c:strRef>
          </c:tx>
          <c:spPr>
            <a:ln w="31750" cap="rnd">
              <a:solidFill>
                <a:schemeClr val="accent6">
                  <a:tint val="86000"/>
                </a:schemeClr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6">
                  <a:tint val="86000"/>
                </a:schemeClr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de-DE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Tabelle1!$A$2:$A$13</c:f>
              <c:numCache>
                <c:formatCode>General</c:formatCode>
                <c:ptCount val="12"/>
                <c:pt idx="0">
                  <c:v>2002</c:v>
                </c:pt>
                <c:pt idx="1">
                  <c:v>2003</c:v>
                </c:pt>
                <c:pt idx="2">
                  <c:v>2004</c:v>
                </c:pt>
                <c:pt idx="3">
                  <c:v>2005</c:v>
                </c:pt>
                <c:pt idx="4">
                  <c:v>2006</c:v>
                </c:pt>
                <c:pt idx="5">
                  <c:v>2007</c:v>
                </c:pt>
                <c:pt idx="6">
                  <c:v>2008</c:v>
                </c:pt>
                <c:pt idx="7">
                  <c:v>2009</c:v>
                </c:pt>
                <c:pt idx="8">
                  <c:v>2010</c:v>
                </c:pt>
                <c:pt idx="9">
                  <c:v>2011</c:v>
                </c:pt>
                <c:pt idx="10">
                  <c:v>2012</c:v>
                </c:pt>
                <c:pt idx="11">
                  <c:v>2013</c:v>
                </c:pt>
              </c:numCache>
            </c:numRef>
          </c:cat>
          <c:val>
            <c:numRef>
              <c:f>Tabelle1!$D$2:$D$13</c:f>
              <c:numCache>
                <c:formatCode>General</c:formatCode>
                <c:ptCount val="12"/>
                <c:pt idx="0">
                  <c:v>21</c:v>
                </c:pt>
                <c:pt idx="1">
                  <c:v>20</c:v>
                </c:pt>
                <c:pt idx="2">
                  <c:v>12</c:v>
                </c:pt>
                <c:pt idx="3">
                  <c:v>13</c:v>
                </c:pt>
                <c:pt idx="4">
                  <c:v>13</c:v>
                </c:pt>
                <c:pt idx="5">
                  <c:v>13</c:v>
                </c:pt>
                <c:pt idx="6">
                  <c:v>13</c:v>
                </c:pt>
                <c:pt idx="7">
                  <c:v>13</c:v>
                </c:pt>
                <c:pt idx="8">
                  <c:v>15</c:v>
                </c:pt>
                <c:pt idx="9">
                  <c:v>15</c:v>
                </c:pt>
                <c:pt idx="10">
                  <c:v>19</c:v>
                </c:pt>
                <c:pt idx="11">
                  <c:v>20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Tabelle1!$E$1</c:f>
              <c:strCache>
                <c:ptCount val="1"/>
                <c:pt idx="0">
                  <c:v>Mind. 10x Konsum/Monat</c:v>
                </c:pt>
              </c:strCache>
            </c:strRef>
          </c:tx>
          <c:spPr>
            <a:ln w="31750" cap="rnd">
              <a:solidFill>
                <a:schemeClr val="accent6">
                  <a:tint val="58000"/>
                </a:schemeClr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6">
                  <a:tint val="58000"/>
                </a:schemeClr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de-DE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Tabelle1!$A$2:$A$13</c:f>
              <c:numCache>
                <c:formatCode>General</c:formatCode>
                <c:ptCount val="12"/>
                <c:pt idx="0">
                  <c:v>2002</c:v>
                </c:pt>
                <c:pt idx="1">
                  <c:v>2003</c:v>
                </c:pt>
                <c:pt idx="2">
                  <c:v>2004</c:v>
                </c:pt>
                <c:pt idx="3">
                  <c:v>2005</c:v>
                </c:pt>
                <c:pt idx="4">
                  <c:v>2006</c:v>
                </c:pt>
                <c:pt idx="5">
                  <c:v>2007</c:v>
                </c:pt>
                <c:pt idx="6">
                  <c:v>2008</c:v>
                </c:pt>
                <c:pt idx="7">
                  <c:v>2009</c:v>
                </c:pt>
                <c:pt idx="8">
                  <c:v>2010</c:v>
                </c:pt>
                <c:pt idx="9">
                  <c:v>2011</c:v>
                </c:pt>
                <c:pt idx="10">
                  <c:v>2012</c:v>
                </c:pt>
                <c:pt idx="11">
                  <c:v>2013</c:v>
                </c:pt>
              </c:numCache>
            </c:numRef>
          </c:cat>
          <c:val>
            <c:numRef>
              <c:f>Tabelle1!$E$2:$E$13</c:f>
              <c:numCache>
                <c:formatCode>General</c:formatCode>
                <c:ptCount val="12"/>
                <c:pt idx="0">
                  <c:v>8</c:v>
                </c:pt>
                <c:pt idx="1">
                  <c:v>8</c:v>
                </c:pt>
                <c:pt idx="2">
                  <c:v>5</c:v>
                </c:pt>
                <c:pt idx="3">
                  <c:v>4</c:v>
                </c:pt>
                <c:pt idx="4">
                  <c:v>5</c:v>
                </c:pt>
                <c:pt idx="5">
                  <c:v>4</c:v>
                </c:pt>
                <c:pt idx="6">
                  <c:v>3</c:v>
                </c:pt>
                <c:pt idx="7">
                  <c:v>4</c:v>
                </c:pt>
                <c:pt idx="8">
                  <c:v>6</c:v>
                </c:pt>
                <c:pt idx="9">
                  <c:v>4</c:v>
                </c:pt>
                <c:pt idx="10">
                  <c:v>7</c:v>
                </c:pt>
                <c:pt idx="11">
                  <c:v>7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481331184"/>
        <c:axId val="481337456"/>
        <c:extLst>
          <c:ext xmlns:c15="http://schemas.microsoft.com/office/drawing/2012/chart" uri="{02D57815-91ED-43cb-92C2-25804820EDAC}">
            <c15:filteredLineSeries>
              <c15:ser>
                <c:idx val="1"/>
                <c:order val="1"/>
                <c:tx>
                  <c:strRef>
                    <c:extLst>
                      <c:ext uri="{02D57815-91ED-43cb-92C2-25804820EDAC}">
                        <c15:formulaRef>
                          <c15:sqref>Tabelle1!$C$1</c15:sqref>
                        </c15:formulaRef>
                      </c:ext>
                    </c:extLst>
                    <c:strCache>
                      <c:ptCount val="1"/>
                      <c:pt idx="0">
                        <c:v>12 Monate</c:v>
                      </c:pt>
                    </c:strCache>
                  </c:strRef>
                </c:tx>
                <c:spPr>
                  <a:ln w="31750" cap="rnd">
                    <a:solidFill>
                      <a:schemeClr val="accent6">
                        <a:shade val="86000"/>
                      </a:schemeClr>
                    </a:solidFill>
                    <a:round/>
                  </a:ln>
                  <a:effectLst/>
                </c:spPr>
                <c:marker>
                  <c:symbol val="circle"/>
                  <c:size val="17"/>
                  <c:spPr>
                    <a:solidFill>
                      <a:schemeClr val="accent6">
                        <a:shade val="86000"/>
                      </a:schemeClr>
                    </a:solidFill>
                    <a:ln>
                      <a:noFill/>
                    </a:ln>
                    <a:effectLst/>
                  </c:spPr>
                </c:marker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1" i="0" u="none" strike="noStrike" kern="1200" baseline="0">
                          <a:solidFill>
                            <a:schemeClr val="lt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de-DE"/>
                    </a:p>
                  </c:txPr>
                  <c:dLblPos val="ctr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layout/>
                      <c15:showLeaderLines val="0"/>
                    </c:ext>
                  </c:extLst>
                </c:dLbls>
                <c:cat>
                  <c:numRef>
                    <c:extLst>
                      <c:ext uri="{02D57815-91ED-43cb-92C2-25804820EDAC}">
                        <c15:formulaRef>
                          <c15:sqref>Tabelle1!$A$2:$A$13</c15:sqref>
                        </c15:formulaRef>
                      </c:ext>
                    </c:extLst>
                    <c:numCache>
                      <c:formatCode>General</c:formatCode>
                      <c:ptCount val="12"/>
                      <c:pt idx="0">
                        <c:v>2002</c:v>
                      </c:pt>
                      <c:pt idx="1">
                        <c:v>2003</c:v>
                      </c:pt>
                      <c:pt idx="2">
                        <c:v>2004</c:v>
                      </c:pt>
                      <c:pt idx="3">
                        <c:v>2005</c:v>
                      </c:pt>
                      <c:pt idx="4">
                        <c:v>2006</c:v>
                      </c:pt>
                      <c:pt idx="5">
                        <c:v>2007</c:v>
                      </c:pt>
                      <c:pt idx="6">
                        <c:v>2008</c:v>
                      </c:pt>
                      <c:pt idx="7">
                        <c:v>2009</c:v>
                      </c:pt>
                      <c:pt idx="8">
                        <c:v>2010</c:v>
                      </c:pt>
                      <c:pt idx="9">
                        <c:v>2011</c:v>
                      </c:pt>
                      <c:pt idx="10">
                        <c:v>2012</c:v>
                      </c:pt>
                      <c:pt idx="11">
                        <c:v>2013</c:v>
                      </c:pt>
                    </c:numCache>
                  </c:numRef>
                </c:cat>
                <c:val>
                  <c:numRef>
                    <c:extLst>
                      <c:ext uri="{02D57815-91ED-43cb-92C2-25804820EDAC}">
                        <c15:formulaRef>
                          <c15:sqref>Tabelle1!$C$2:$C$13</c15:sqref>
                        </c15:formulaRef>
                      </c:ext>
                    </c:extLst>
                    <c:numCache>
                      <c:formatCode>General</c:formatCode>
                      <c:ptCount val="12"/>
                      <c:pt idx="0">
                        <c:v>35</c:v>
                      </c:pt>
                      <c:pt idx="1">
                        <c:v>33</c:v>
                      </c:pt>
                      <c:pt idx="2">
                        <c:v>23</c:v>
                      </c:pt>
                      <c:pt idx="3">
                        <c:v>26</c:v>
                      </c:pt>
                      <c:pt idx="4">
                        <c:v>25</c:v>
                      </c:pt>
                      <c:pt idx="5">
                        <c:v>24</c:v>
                      </c:pt>
                      <c:pt idx="6">
                        <c:v>24</c:v>
                      </c:pt>
                      <c:pt idx="7">
                        <c:v>26</c:v>
                      </c:pt>
                      <c:pt idx="8">
                        <c:v>26</c:v>
                      </c:pt>
                      <c:pt idx="9">
                        <c:v>26</c:v>
                      </c:pt>
                      <c:pt idx="10">
                        <c:v>31</c:v>
                      </c:pt>
                      <c:pt idx="11">
                        <c:v>34</c:v>
                      </c:pt>
                    </c:numCache>
                  </c:numRef>
                </c:val>
                <c:smooth val="0"/>
              </c15:ser>
            </c15:filteredLineSeries>
          </c:ext>
        </c:extLst>
      </c:lineChart>
      <c:catAx>
        <c:axId val="4813311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48133745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81337456"/>
        <c:scaling>
          <c:orientation val="minMax"/>
          <c:max val="50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481331184"/>
        <c:crosses val="autoZero"/>
        <c:crossBetween val="between"/>
        <c:majorUnit val="25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7703822129754276"/>
          <c:y val="0.92257344294454591"/>
          <c:w val="0.64592337030699964"/>
          <c:h val="7.7426557055454107E-2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9">
  <a:schemeClr val="accent6"/>
</cs:colorStyle>
</file>

<file path=word/charts/style1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MOSYD-JAHRESBERICHT 2013 - SCHÜLERBEFRAGUNG</vt:lpstr>
    </vt:vector>
  </TitlesOfParts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MOSYD-JAHRESBERICHT 2013 - SCHÜLERBEFRAGUNG</dc:title>
  <dc:subject/>
  <dc:creator>Cornelia Morgenstern</dc:creator>
  <cp:keywords/>
  <dc:description/>
  <cp:lastModifiedBy>Cornelia Morgenstern</cp:lastModifiedBy>
  <cp:revision>12</cp:revision>
  <cp:lastPrinted>2014-11-06T10:49:00Z</cp:lastPrinted>
  <dcterms:created xsi:type="dcterms:W3CDTF">2014-11-06T09:21:00Z</dcterms:created>
  <dcterms:modified xsi:type="dcterms:W3CDTF">2014-11-07T12:48:00Z</dcterms:modified>
</cp:coreProperties>
</file>